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36" w:history="1">
        <w:r>
          <w:rPr>
            <w:rFonts w:ascii="Arial" w:hAnsi="Arial" w:eastAsia="Arial" w:cs="Arial"/>
            <w:color w:val="155CAA"/>
            <w:u w:val="single"/>
          </w:rPr>
          <w:t xml:space="preserve">1 Brf FNV, Cao regelen voor werknemers met een arbeidsbeperking, zaaknr 605752, 20190819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36"/>
      <w:r w:rsidRPr="00A448AC">
        <w:rPr>
          <w:rFonts w:ascii="Arial" w:hAnsi="Arial" w:cs="Arial"/>
          <w:b/>
          <w:bCs/>
          <w:color w:val="303F4C"/>
          <w:lang w:val="en-US"/>
        </w:rPr>
        <w:t>Brf FNV, Cao regelen voor werknemers met een arbeidsbeperking, zaaknr 605752, 20190819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19-08-2019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FNV, Cao regelen voor werknemers met een arbeidsbeperking, zaaknr 605752, 20190819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FNV-Cao-regelen-voor-werknemers-met-een-arbeidsbeperking-zaaknr-605752-201908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