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00:16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660" w:history="1">
        <w:r>
          <w:rPr>
            <w:rFonts w:ascii="Arial" w:hAnsi="Arial" w:eastAsia="Arial" w:cs="Arial"/>
            <w:color w:val="155CAA"/>
            <w:u w:val="single"/>
          </w:rPr>
          <w:t xml:space="preserve">1 Brf Expertisecentrum Overijssel Vitale Vakantieparken, Vitalisering vakantieparken, zaaknr 647843, 20211221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660"/>
      <w:r w:rsidRPr="00A448AC">
        <w:rPr>
          <w:rFonts w:ascii="Arial" w:hAnsi="Arial" w:cs="Arial"/>
          <w:b/>
          <w:bCs/>
          <w:color w:val="303F4C"/>
          <w:lang w:val="en-US"/>
        </w:rPr>
        <w:t>Brf Expertisecentrum Overijssel Vitale Vakantieparken, Vitalisering vakantieparken, zaaknr 647843, 20211221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27-01-2022 15:50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Expertisecentrum Overijssel Vitale Vakantieparken, Vitalisering vakantieparken, zaaknr 647843, 20211221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21-12-2021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302,72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Expertisecentrum-Overijssel-Vitale-Vakantieparken-Vitalisering-vakantieparken-zaaknr-647843-2021122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