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60" text:style-name="Internet_20_link" text:visited-style-name="Visited_20_Internet_20_Link">
              <text:span text:style-name="ListLabel_20_28">
                <text:span text:style-name="T8">1 Brf Expertisecentrum Overijssel Vitale Vakantieparken, Vitalisering vakantieparken, zaaknr 647843, 20211221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0"/>
        Brf Expertisecentrum Overijssel Vitale Vakantieparken, Vitalisering vakantieparken, zaaknr 647843, 20211221
        <text:bookmark-end text:name="426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27-01-2022 15:50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Expertisecentrum Overijssel Vitale Vakantieparken, Vitalisering vakantieparken, zaaknr 647843, 20211221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302,72 KB</text:p>
          </table:table-cell>
          <table:table-cell table:style-name="Table4.A2" office:value-type="string">
            <text:p text:style-name="P33">
              <text:a xlink:type="simple" xlink:href="https://ris.dalfsen.nl//Raadsinformatie/Bijlage/Brf-Expertisecentrum-Overijssel-Vitale-Vakantieparken-Vitalisering-vakantieparken-zaaknr-647843-2021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586" meta:non-whitespace-character-count="5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1263419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1263419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