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35" w:history="1">
        <w:r>
          <w:rPr>
            <w:rFonts w:ascii="Arial" w:hAnsi="Arial" w:eastAsia="Arial" w:cs="Arial"/>
            <w:color w:val="155CAA"/>
            <w:u w:val="single"/>
          </w:rPr>
          <w:t xml:space="preserve">1 Brf, EIS Kenniscentrum Insecten, Bijenconcurrentie gemeenten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35"/>
      <w:r w:rsidRPr="00A448AC">
        <w:rPr>
          <w:rFonts w:ascii="Arial" w:hAnsi="Arial" w:cs="Arial"/>
          <w:b/>
          <w:bCs/>
          <w:color w:val="303F4C"/>
          <w:lang w:val="en-US"/>
        </w:rPr>
        <w:t>Brf, EIS Kenniscentrum Insecten, Bijenconcurrentie gemeenten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EIS Kenniscentrum Insecten, Bijenconcurrentie gemeenten, 20230502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EIS-Kenniscentrum-Insecten-Bijenconcurrentie-gemeenten-2023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