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05" w:history="1">
        <w:r>
          <w:rPr>
            <w:rFonts w:ascii="Arial" w:hAnsi="Arial" w:eastAsia="Arial" w:cs="Arial"/>
            <w:color w:val="155CAA"/>
            <w:u w:val="single"/>
          </w:rPr>
          <w:t xml:space="preserve">1 Brf Drents Overijsselse Delta, portefeuilleverdeling DB en coalitieakkoord, zaaknr 602791, 20190606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05"/>
      <w:r w:rsidRPr="00A448AC">
        <w:rPr>
          <w:rFonts w:ascii="Arial" w:hAnsi="Arial" w:cs="Arial"/>
          <w:b/>
          <w:bCs/>
          <w:color w:val="303F4C"/>
          <w:lang w:val="en-US"/>
        </w:rPr>
        <w:t>Brf Drents Overijsselse Delta, portefeuilleverdeling DB en coalitieakkoord, zaaknr 602791, 20190606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20-06-2019 12:15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Drents Overijsselse Delta, portefeuilleverdeling DB en coalitieakkoord, zaaknr 602791, 20190606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4,49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Drents-Overijsselse-Delta-portefeuilleverdeling-DB-en-coalitieakkoord-zaaknr-602791-201906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