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0" w:history="1">
        <w:r>
          <w:rPr>
            <w:rFonts w:ascii="Arial" w:hAnsi="Arial" w:eastAsia="Arial" w:cs="Arial"/>
            <w:color w:val="155CAA"/>
            <w:u w:val="single"/>
          </w:rPr>
          <w:t xml:space="preserve">1 Brf Diversion, Brede Ondersteuning kinderen toeslagenaffaire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0"/>
      <w:r w:rsidRPr="00A448AC">
        <w:rPr>
          <w:rFonts w:ascii="Arial" w:hAnsi="Arial" w:cs="Arial"/>
          <w:b/>
          <w:bCs/>
          <w:color w:val="303F4C"/>
          <w:lang w:val="en-US"/>
        </w:rPr>
        <w:t>Brf Diversion, Brede Ondersteuning kinderen toeslagenaffaire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Diversion, Brede Ondersteuning kinderen toeslagenaffaire, 20230918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iversion-Brede-Ondersteuning-kinderen-toeslagenaffaire-202309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