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28-06-2025 09:26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36" text:style-name="Internet_20_link" text:visited-style-name="Visited_20_Internet_20_Link">
              <text:span text:style-name="ListLabel_20_28">
                <text:span text:style-name="T8">1 Brf, De Goede Zaak, Een menswaardig sociaal minimum voor de BES-eilanden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36"/>
        Brf, De Goede Zaak, Een menswaardig sociaal minimum voor de BES-eilanden
        <text:bookmark-end text:name="431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02-05-2023 10:26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De Goede Zaak, Een menswaardig sociaal minimum voor de BES-eilanden, 20230502
              <text:span text:style-name="T3"/>
            </text:p>
            <text:p text:style-name="P7"/>
          </table:table-cell>
          <table:table-cell table:style-name="Table4.A2" office:value-type="string">
            <text:p text:style-name="P8">02-05-2023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44,18 KB</text:p>
          </table:table-cell>
          <table:table-cell table:style-name="Table4.A2" office:value-type="string">
            <text:p text:style-name="P33">
              <text:a xlink:type="simple" xlink:href="https://ris.dalfsen.nl//Raadsinformatie/Bijlage/Brf-De-Goede-Zaak-Een-menswaardig-sociaal-minimum-voor-de-BES-eilanden-202305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5" meta:character-count="490" meta:non-whitespace-character-count="4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1341598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1341598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