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10:22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38" w:history="1">
        <w:r>
          <w:rPr>
            <w:rFonts w:ascii="Arial" w:hAnsi="Arial" w:eastAsia="Arial" w:cs="Arial"/>
            <w:color w:val="155CAA"/>
            <w:u w:val="single"/>
          </w:rPr>
          <w:t xml:space="preserve">1 Brf Bureau Objectief, Landelijk onderzoek naar de naleving van de leeftijdsgrens bij alcoholverkoop in 2020, zaaknr 633153, 20210430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38"/>
      <w:r w:rsidRPr="00A448AC">
        <w:rPr>
          <w:rFonts w:ascii="Arial" w:hAnsi="Arial" w:cs="Arial"/>
          <w:b/>
          <w:bCs/>
          <w:color w:val="303F4C"/>
          <w:lang w:val="en-US"/>
        </w:rPr>
        <w:t>Brf Bureau Objectief, Landelijk onderzoek naar de naleving van de leeftijdsgrens bij alcoholverkoop in 2020, zaaknr 633153, 20210430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Bureau Objectief, Landelijk onderzoek naar de naleving van de leeftijdsgrens bij alcoholverkoop in 2020, zaaknr 633153, 20210430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30-04-2021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1,27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Bureau-Objectief-Landelijk-onderzoek-naar-de-naleving-van-de-leeftijdsgrens-bij-alcoholverkoop-in-2020-zaaknr-633153-202104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