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0" w:history="1">
        <w:r>
          <w:rPr>
            <w:rFonts w:ascii="Arial" w:hAnsi="Arial" w:eastAsia="Arial" w:cs="Arial"/>
            <w:color w:val="155CAA"/>
            <w:u w:val="single"/>
          </w:rPr>
          <w:t xml:space="preserve">1 Brf, Betaalbaar wonen Nieuwleusen, Brandbrief Betaalbare kleine woningen Nieuwleusen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0"/>
      <w:r w:rsidRPr="00A448AC">
        <w:rPr>
          <w:rFonts w:ascii="Arial" w:hAnsi="Arial" w:cs="Arial"/>
          <w:b/>
          <w:bCs/>
          <w:color w:val="303F4C"/>
          <w:lang w:val="en-US"/>
        </w:rPr>
        <w:t>Brf, Betaalbaar wonen Nieuwleusen, Brandbrief Betaalbare kleine woningen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Betaalbaar wonen Nieuwleusen, Brandbrief Betaalbare kleine woningen Nieuwleusen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Betaalbaar-wonen-Nieuwleusen-Brandbrief-Betaalbare-kleine-woningen-Nieuwleus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