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00" text:style-name="Internet_20_link" text:visited-style-name="Visited_20_Internet_20_Link">
              <text:span text:style-name="ListLabel_20_28">
                <text:span text:style-name="T8">1 Brf, Betaalbaar wonen Nieuwleusen, Brandbrief Betaalbare kleine woningen Nieuwleusen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00"/>
        Brf, Betaalbaar wonen Nieuwleusen, Brandbrief Betaalbare kleine woningen Nieuwleusen
        <text:bookmark-end text:name="431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23-03-2023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Betaalbaar wonen Nieuwleusen, Brandbrief Betaalbare kleine woningen Nieuwleusen
              <text:span text:style-name="T3"/>
            </text:p>
            <text:p text:style-name="P7"/>
          </table:table-cell>
          <table:table-cell table:style-name="Table4.A2" office:value-type="string">
            <text:p text:style-name="P8">23-03-2023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86,90 KB</text:p>
          </table:table-cell>
          <table:table-cell table:style-name="Table4.A2" office:value-type="string">
            <text:p text:style-name="P33">
              <text:a xlink:type="simple" xlink:href="https://ris.dalfsen.nl//Raadsinformatie/Bijlage/Brf-Betaalbaar-wonen-Nieuwleusen-Brandbrief-Betaalbare-kleine-woningen-Nieuwleu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16" meta:non-whitespace-character-count="4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