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00:29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15" text:style-name="Internet_20_link" text:visited-style-name="Visited_20_Internet_20_Link">
              <text:span text:style-name="ListLabel_20_28">
                <text:span text:style-name="T8">1 Brf Beroeps Organisatie Kunstenaars, Steun aan makers van kunst en cultuur, zaaknr 630950, 20210406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15"/>
        Brf Beroeps Organisatie Kunstenaars, Steun aan makers van kunst en cultuur, zaaknr 630950, 20210406
        <text:bookmark-end text:name="4241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09:46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Beroeps Organisatie Kunstenaars, Steun aan makers van kunst en cultuur, zaaknr 630950, 20210406
              <text:span text:style-name="T3"/>
            </text:p>
            <text:p text:style-name="P7"/>
          </table:table-cell>
          <table:table-cell table:style-name="Table4.A2" office:value-type="string">
            <text:p text:style-name="P8">06-04-2021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151,68 KB</text:p>
          </table:table-cell>
          <table:table-cell table:style-name="Table4.A2" office:value-type="string">
            <text:p text:style-name="P33">
              <text:a xlink:type="simple" xlink:href="https://ris.dalfsen.nl//Raadsinformatie/Bijlage/Brf-Beroeps-Organisatie-Kunstenaars-Steun-aan-makers-van-kunst-en-cultuur-zaaknr-630950-202104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3" meta:character-count="562" meta:non-whitespace-character-count="5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1169895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1169895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