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0" w:history="1">
        <w:r>
          <w:rPr>
            <w:rFonts w:ascii="Arial" w:hAnsi="Arial" w:eastAsia="Arial" w:cs="Arial"/>
            <w:color w:val="155CAA"/>
            <w:u w:val="single"/>
          </w:rPr>
          <w:t xml:space="preserve">1 Brf, ActiZ Jeugd, Informatiebrief gemeenteraden kompas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0"/>
      <w:r w:rsidRPr="00A448AC">
        <w:rPr>
          <w:rFonts w:ascii="Arial" w:hAnsi="Arial" w:cs="Arial"/>
          <w:b/>
          <w:bCs/>
          <w:color w:val="303F4C"/>
          <w:lang w:val="en-US"/>
        </w:rPr>
        <w:t>Brf, ActiZ Jeugd, Informatiebrief gemeenteraden kompas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 18:17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ActiZ Jeugd, Informatiebrief gemeenteraden kompas, zaaknr 681184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ActiZ-Jeugd-Informatiebrief-gemeenteraden-kompas-zaaknr-68118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