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62" w:history="1">
        <w:r>
          <w:rPr>
            <w:rFonts w:ascii="Arial" w:hAnsi="Arial" w:eastAsia="Arial" w:cs="Arial"/>
            <w:color w:val="155CAA"/>
            <w:u w:val="single"/>
          </w:rPr>
          <w:t xml:space="preserve">1 RaadRaad 22 april 2013 - Ingekomen stuk, RUD IJsselland, stand van zaken, nr 6651-5445, 20130415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63" w:history="1">
        <w:r>
          <w:rPr>
            <w:rFonts w:ascii="Arial" w:hAnsi="Arial" w:eastAsia="Arial" w:cs="Arial"/>
            <w:color w:val="155CAA"/>
            <w:u w:val="single"/>
          </w:rPr>
          <w:t xml:space="preserve">2 Raad 22 apr 2013 - Ingekomen stuk, Brief minister Plasterk, nadere toel mbt gemeentelijke herindeling, nr 6633-12390, 20130415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62"/>
      <w:r w:rsidRPr="00A448AC">
        <w:rPr>
          <w:rFonts w:ascii="Arial" w:hAnsi="Arial" w:cs="Arial"/>
          <w:b/>
          <w:bCs/>
          <w:color w:val="303F4C"/>
          <w:lang w:val="en-US"/>
        </w:rPr>
        <w:t>RaadRaad 22 april 2013 - Ingekomen stuk, RUD IJsselland, stand van zaken, nr 6651-5445, 20130415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27-05-2013 09:22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april 2013 - Ingekomen stuk, RUD IJsselland, stand van zaken, nr 6651-5445, 20130415.pdf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503,46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63"/>
      <w:r w:rsidRPr="00A448AC">
        <w:rPr>
          <w:rFonts w:ascii="Arial" w:hAnsi="Arial" w:cs="Arial"/>
          <w:b/>
          <w:bCs/>
          <w:color w:val="303F4C"/>
          <w:lang w:val="en-US"/>
        </w:rPr>
        <w:t>Raad 22 apr 2013 - Ingekomen stuk, Brief minister Plasterk, nadere toel mbt gemeentelijke herindeling, nr 6633-12390, 20130415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27-05-2013 09:21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apr 2013 - Ingekomen stuk, Brief minister Plasterk, nadere toel mbt gemeentelijke herindeling, nr 6633-12390, 20130415.pdf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2-april-2013---Ingekomen-stuk--RUD-IJsselland--stand-van-zaken--nr-6651-5445--20130415.pdf" TargetMode="External" /><Relationship Id="rId25" Type="http://schemas.openxmlformats.org/officeDocument/2006/relationships/hyperlink" Target="https://ris.dalfsen.nl//Raadsinformatie/Ingekomen-stuk/voor-kennisgeving-aannemen/Raad-22-apr-2013---Ingekomen-stuk--Brief-minister-Plasterk--nadere-toel-mbt-gemeentelijke-herindeling--nr-6633-12390--201304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