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67" w:history="1">
        <w:r>
          <w:rPr>
            <w:rFonts w:ascii="Arial" w:hAnsi="Arial" w:eastAsia="Arial" w:cs="Arial"/>
            <w:color w:val="155CAA"/>
            <w:u w:val="single"/>
          </w:rPr>
          <w:t xml:space="preserve">1 Raad 28 sep 2015 - Ingekomen stuk, Groen Platform Vecht, bevaarbaarheid vd Overijsselse Vecht, nr 28275-31283, 20150901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67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Groen Platform Vecht, bevaarbaarheid vd Overijsselse Vecht, nr 28275-31283, 20150901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Groen Platform Vecht, bevaarbaarheid vd Overijsselse Vecht, nr 28275-31283, 20150901.pdf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8-sep-2015-Ingekomen-stuk-Groen-Platform-Vecht-bevaarbaarheid-vd-Overijsselse-Vecht-nr-28275-31283-201509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