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1" w:history="1">
        <w:r>
          <w:rPr>
            <w:rFonts w:ascii="Arial" w:hAnsi="Arial" w:eastAsia="Arial" w:cs="Arial"/>
            <w:color w:val="155CAA"/>
            <w:u w:val="single"/>
          </w:rPr>
          <w:t xml:space="preserve">1 Raad 25 jan 2016 - Ingekomen stuk, Provincie Overijssel, Toezichtsvorm programmabegroting 2016, nr 31285-29485, 20151221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1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Provincie Overijssel, Toezichtsvorm programmabegroting 2016, nr 31285-29485, 20151221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Provincie Overijssel, Toezichtsvorm programmabegroting 2016, nr 31285-29485, 20151221.pdf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5-jan-2016-Ingekomen-stuk-Provincie-Overijssel-Toezichtsvorm-programmabegroting-2016-nr-31285-29485-201512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