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38" w:history="1">
        <w:r>
          <w:rPr>
            <w:rFonts w:ascii="Arial" w:hAnsi="Arial" w:eastAsia="Arial" w:cs="Arial"/>
            <w:color w:val="155CAA"/>
            <w:u w:val="single"/>
          </w:rPr>
          <w:t xml:space="preserve">1 Raad 22 jun 2015 - Ingekomen stuk, Stichting Vechtgenoten, Visie inloophuizen, nr 25984-26801, 20150601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38"/>
      <w:r w:rsidRPr="00A448AC">
        <w:rPr>
          <w:rFonts w:ascii="Arial" w:hAnsi="Arial" w:cs="Arial"/>
          <w:b/>
          <w:bCs/>
          <w:color w:val="303F4C"/>
          <w:lang w:val="en-US"/>
        </w:rPr>
        <w:t>Raad 22 jun 2015 - Ingekomen stuk, Stichting Vechtgenoten, Visie inloophuizen, nr 25984-26801, 20150601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25-06-2015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jun 2015 - Ingekomen stuk, Stichting Vechtgenoten, Visie inloophuizen, nr 25984-26801, 20150601.pdf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639,84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2-jun-2015-Ingekomen-stuk-Stichting-Vechtgenoten-Visie-inloophuizen-nr-25984-26801-201506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