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21:53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319" w:history="1">
        <w:r>
          <w:rPr>
            <w:rFonts w:ascii="Arial" w:hAnsi="Arial" w:eastAsia="Arial" w:cs="Arial"/>
            <w:color w:val="155CAA"/>
            <w:u w:val="single"/>
          </w:rPr>
          <w:t xml:space="preserve">1 Raad 20 apr 2015 - Ingekomen stuk, BIP, Beleidsvoorstel regelvrije bijstand, nr 24782-26315, 20150409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319"/>
      <w:r w:rsidRPr="00A448AC">
        <w:rPr>
          <w:rFonts w:ascii="Arial" w:hAnsi="Arial" w:cs="Arial"/>
          <w:b/>
          <w:bCs/>
          <w:color w:val="303F4C"/>
          <w:lang w:val="en-US"/>
        </w:rPr>
        <w:t>Raad 20 apr 2015 - Ingekomen stuk, BIP, Beleidsvoorstel regelvrije bijstand, nr 24782-26315, 20150409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23-04-2015 16:16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20 apr 2015 - Ingekomen stuk, BIP, Beleidsvoorstel regelvrije bijstand, nr 24782-26315, 20150409.pdf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13-04-2015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356,56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0-apr-2015-Ingekomen-stuk-BIP-Beleidsvoorstel-regelvrije-bijstand-nr-24782-26315-20150409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