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5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A. Wevers, compensatieregeling chronisch zieken en of gehandicapten, nr 24124-25334, 20150316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A. Wevers, compensatieregeling chronisch zieken en of gehandicapten, nr 24124-25334,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A. Wevers, compensatieregeling chronisch zieken en of gehandicapten, nr 24124-25334,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0-apr-2015-Ingekomen-stuk-A-Wevers-compensatieregeling-chronisch-zieken-en-of-gehandicapten-nr-24124-25334-2015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