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00:04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305" text:style-name="Internet_20_link" text:visited-style-name="Visited_20_Internet_20_Link">
              <text:span text:style-name="ListLabel_20_28">
                <text:span text:style-name="T8">1 Raad 20 apr 2015 - Ingekomen stuk, A. Wevers, compensatieregeling chronisch zieken en of gehandicapten, nr 24124-25334, 20150316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05"/>
        Raad 20 apr 2015 - Ingekomen stuk, A. Wevers, compensatieregeling chronisch zieken en of gehandicapten, nr 24124-25334, 20150316
        <text:bookmark-end text:name="4130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23-04-2015 16:10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20 apr 2015 - Ingekomen stuk, A. Wevers, compensatieregeling chronisch zieken en of gehandicapten, nr 24124-25334, 20150316.pdf
              <text:span text:style-name="T3"/>
            </text:p>
            <text:p text:style-name="P7"/>
          </table:table-cell>
          <table:table-cell table:style-name="Table4.A2" office:value-type="string">
            <text:p text:style-name="P8">16-03-2015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47,13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0-apr-2015-Ingekomen-stuk-A-Wevers-compensatieregeling-chronisch-zieken-en-of-gehandicapten-nr-24124-25334-201503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100" meta:character-count="673" meta:non-whitespace-character-count="6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422962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422962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