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80" w:history="1">
        <w:r>
          <w:rPr>
            <w:rFonts w:ascii="Arial" w:hAnsi="Arial" w:eastAsia="Arial" w:cs="Arial"/>
            <w:color w:val="155CAA"/>
            <w:u w:val="single"/>
          </w:rPr>
          <w:t xml:space="preserve">1 Lbr VNG, Inschrijving GT mobiele communicatie 3, zaaknr 634192, 20210601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80"/>
      <w:r w:rsidRPr="00A448AC">
        <w:rPr>
          <w:rFonts w:ascii="Arial" w:hAnsi="Arial" w:cs="Arial"/>
          <w:b/>
          <w:bCs/>
          <w:color w:val="303F4C"/>
          <w:lang w:val="en-US"/>
        </w:rPr>
        <w:t>Lbr VNG, Inschrijving GT mobiele communicatie 3, zaaknr 634192, 20210601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09:29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Inschrijving GT mobiele communicatie 3, zaaknr 634192, 20210601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01-06-2021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109,46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Inschrijving-GT-mobiele-communicatie-3-zaaknr-634192-2021060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