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51" w:history="1">
        <w:r>
          <w:rPr>
            <w:rFonts w:ascii="Arial" w:hAnsi="Arial" w:eastAsia="Arial" w:cs="Arial"/>
            <w:color w:val="155CAA"/>
            <w:u w:val="single"/>
          </w:rPr>
          <w:t xml:space="preserve">1 Lbr VNG, CPB-onderzoek houdbaarheid Wmo en Jeugdwet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51"/>
      <w:r w:rsidRPr="00A448AC">
        <w:rPr>
          <w:rFonts w:ascii="Arial" w:hAnsi="Arial" w:cs="Arial"/>
          <w:b/>
          <w:bCs/>
          <w:color w:val="303F4C"/>
          <w:lang w:val="en-US"/>
        </w:rPr>
        <w:t>Lbr VNG, CPB-onderzoek houdbaarheid Wmo en Jeugdwet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 10:04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23-002, CPB-onderzoek houdbaarheid Wmo en Jeugdwet, zaaknr 680459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834,12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02-CPB-onderzoek-houdbaarheid-Wmo-en-Jeugdwet-zaaknr-68045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