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4" w:history="1">
        <w:r>
          <w:rPr>
            <w:rFonts w:ascii="Arial" w:hAnsi="Arial" w:eastAsia="Arial" w:cs="Arial"/>
            <w:color w:val="155CAA"/>
            <w:u w:val="single"/>
          </w:rPr>
          <w:t xml:space="preserve">1 Lbr VNG, 24-012, Wijziging Huisvestingswet 2014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4"/>
      <w:r w:rsidRPr="00A448AC">
        <w:rPr>
          <w:rFonts w:ascii="Arial" w:hAnsi="Arial" w:cs="Arial"/>
          <w:b/>
          <w:bCs/>
          <w:color w:val="303F4C"/>
          <w:lang w:val="en-US"/>
        </w:rPr>
        <w:t>Lbr VNG, 24-012, Wijziging Huisvestingswet 2014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24-012, Wijziging Huisvestingswet 2014,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2-Wijziging-Huisvestingswet-2014-2024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