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2" w:history="1">
        <w:r>
          <w:rPr>
            <w:rFonts w:ascii="Arial" w:hAnsi="Arial" w:eastAsia="Arial" w:cs="Arial"/>
            <w:color w:val="155CAA"/>
            <w:u w:val="single"/>
          </w:rPr>
          <w:t xml:space="preserve">1 Lbr VNG, 24-011, Gemeentefinanciën in voorjaarsnota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2"/>
      <w:r w:rsidRPr="00A448AC">
        <w:rPr>
          <w:rFonts w:ascii="Arial" w:hAnsi="Arial" w:cs="Arial"/>
          <w:b/>
          <w:bCs/>
          <w:color w:val="303F4C"/>
          <w:lang w:val="en-US"/>
        </w:rPr>
        <w:t>Lbr VNG, 24-011, Gemeentefinanciën in voorjaarsnota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24-011, Gemeentefinancien in voorjaarsnota 2024,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1-Gemeentefinancien-in-voorjaarsnota-2024-2024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