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1" w:history="1">
        <w:r>
          <w:rPr>
            <w:rFonts w:ascii="Arial" w:hAnsi="Arial" w:eastAsia="Arial" w:cs="Arial"/>
            <w:color w:val="155CAA"/>
            <w:u w:val="single"/>
          </w:rPr>
          <w:t xml:space="preserve">1 Lbr VNG, 23-021, Interbestuurlijk programma versterking VTH-stelsel (IBP VTH)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1"/>
      <w:r w:rsidRPr="00A448AC">
        <w:rPr>
          <w:rFonts w:ascii="Arial" w:hAnsi="Arial" w:cs="Arial"/>
          <w:b/>
          <w:bCs/>
          <w:color w:val="303F4C"/>
          <w:lang w:val="en-US"/>
        </w:rPr>
        <w:t>Lbr VNG, 23-021, Interbestuurlijk programma versterking VTH-stelsel (IBP VTH)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23-021, Interbestuurlijk programma versterking VTH-stelsel (IBP VTH)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21-Interbestuurlijk-programma-versterking-VTH-stelsel-IBP-VTH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