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23" w:history="1">
        <w:r>
          <w:rPr>
            <w:rFonts w:ascii="Arial" w:hAnsi="Arial" w:eastAsia="Arial" w:cs="Arial"/>
            <w:color w:val="155CAA"/>
            <w:u w:val="single"/>
          </w:rPr>
          <w:t xml:space="preserve">1 Lbr VNG, 22-066, Instrumenten overheidscommunicatie en digitale toegankelijkheid., zaaknr. 677545, 20121212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23"/>
      <w:r w:rsidRPr="00A448AC">
        <w:rPr>
          <w:rFonts w:ascii="Arial" w:hAnsi="Arial" w:cs="Arial"/>
          <w:b/>
          <w:bCs/>
          <w:color w:val="303F4C"/>
          <w:lang w:val="en-US"/>
        </w:rPr>
        <w:t>Lbr VNG, 22-066, Instrumenten overheidscommunicatie en digitale toegankelijkheid., zaaknr. 677545, 20121212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22-066, Instrumenten overheidscommunicatie en digitale toegankelijkheid., zaaknr. 677545, 20121212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4,60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66-Instrumenten-overheidscommunicatie-en-digitale-toegankelijkheid-zaaknr-677545-201212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