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40" text:style-name="Internet_20_link" text:visited-style-name="Visited_20_Internet_20_Link">
              <text:span text:style-name="ListLabel_20_28">
                <text:span text:style-name="T8">1 Lbr VNG, 22-047, Standaardisatie Haven en Haal Centraal-specificaties, zaaknr 669866, 20220908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40"/>
        Lbr VNG, 22-047, Standaardisatie Haven en Haal Centraal-specificaties, zaaknr 669866, 20220908
        <text:bookmark-end text:name="429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22-047, Standaardisatie Haven en Haal Centraal-specificaties, zaaknr 669866, 20220908
              <text:span text:style-name="T3"/>
            </text:p>
            <text:p text:style-name="P7"/>
          </table:table-cell>
          <table:table-cell table:style-name="Table4.A2" office:value-type="string">
            <text:p text:style-name="P8">08-09-2022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160,35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47-Standaardisatie-Haven-en-Haal-Centraal-specificaties-zaaknr-669866-202209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68" meta:non-whitespace-character-count="5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1379170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1379170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