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11" w:history="1">
        <w:r>
          <w:rPr>
            <w:rFonts w:ascii="Arial" w:hAnsi="Arial" w:eastAsia="Arial" w:cs="Arial"/>
            <w:color w:val="155CAA"/>
            <w:u w:val="single"/>
          </w:rPr>
          <w:t xml:space="preserve">1 Lbr VNG, 22-008, Nieuwe gemeentelijke taak prenatale huisbezoeken JGZ, zaaknr 652347, 20220210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11"/>
      <w:r w:rsidRPr="00A448AC">
        <w:rPr>
          <w:rFonts w:ascii="Arial" w:hAnsi="Arial" w:cs="Arial"/>
          <w:b/>
          <w:bCs/>
          <w:color w:val="303F4C"/>
          <w:lang w:val="en-US"/>
        </w:rPr>
        <w:t>Lbr VNG, 22-008, Nieuwe gemeentelijke taak prenatale huisbezoeken JGZ, zaaknr 652347, 20220210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 16:21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22-008, Nieuwe gemeentelijke taak prenatale huisbezoeken JGZ, zaaknr 652347, 20220210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151,96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2-008-Nieuwe-gemeentelijke-taak-prenatale-huisbezoeken-JGZ-zaaknr-652347-202202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