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8" w:history="1">
        <w:r>
          <w:rPr>
            <w:rFonts w:ascii="Arial" w:hAnsi="Arial" w:eastAsia="Arial" w:cs="Arial"/>
            <w:color w:val="155CAA"/>
            <w:u w:val="single"/>
          </w:rPr>
          <w:t xml:space="preserve">1 Lbr VNG, 21-070,  Verlenging overgangsafspraken WMO naar WLZ, zaaknr 643413, 20211101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8"/>
      <w:r w:rsidRPr="00A448AC">
        <w:rPr>
          <w:rFonts w:ascii="Arial" w:hAnsi="Arial" w:cs="Arial"/>
          <w:b/>
          <w:bCs/>
          <w:color w:val="303F4C"/>
          <w:lang w:val="en-US"/>
        </w:rPr>
        <w:t>Lbr VNG, 21-070,  Verlenging overgangsafspraken WMO naar WLZ, zaaknr 643413,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21-070, Verlenging overgangsafspraken WMO naar WLZ, zaaknr 643413,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0-Verlenging-overgangsafspraken-WMO-naar-WLZ-zaaknr-643413-202111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