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1" w:history="1">
        <w:r>
          <w:rPr>
            <w:rFonts w:ascii="Arial" w:hAnsi="Arial" w:eastAsia="Arial" w:cs="Arial"/>
            <w:color w:val="155CAA"/>
            <w:u w:val="single"/>
          </w:rPr>
          <w:t xml:space="preserve">1 Lbr VNG 21-064, Wijziging VNG model Huisvestingsverordening toevoegingsregels toeristisch verhuur, 20210902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1"/>
      <w:r w:rsidRPr="00A448AC">
        <w:rPr>
          <w:rFonts w:ascii="Arial" w:hAnsi="Arial" w:cs="Arial"/>
          <w:b/>
          <w:bCs/>
          <w:color w:val="303F4C"/>
          <w:lang w:val="en-US"/>
        </w:rPr>
        <w:t>Lbr VNG 21-064, Wijziging VNG model Huisvestingsverordening toevoegingsregels toeristisch verhuur, 20210902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21-064, Wijziging VNG model Huisvestingsverordening toevoegingsregels toeristisch verhuur, 20210902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4-Wijziging-VNG-model-Huisvestingsverordening-toevoegingsregels-toeristisch-verhuur-202109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