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36" w:history="1">
        <w:r>
          <w:rPr>
            <w:rFonts w:ascii="Arial" w:hAnsi="Arial" w:eastAsia="Arial" w:cs="Arial"/>
            <w:color w:val="155CAA"/>
            <w:u w:val="single"/>
          </w:rPr>
          <w:t xml:space="preserve">1 Lbr VNG 21-061, Implementatie informed consent, zaaknr 637377, 20210722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36"/>
      <w:r w:rsidRPr="00A448AC">
        <w:rPr>
          <w:rFonts w:ascii="Arial" w:hAnsi="Arial" w:cs="Arial"/>
          <w:b/>
          <w:bCs/>
          <w:color w:val="303F4C"/>
          <w:lang w:val="en-US"/>
        </w:rPr>
        <w:t>Lbr VNG 21-061, Implementatie informed consent, zaaknr 637377, 20210722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15:01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21-061, Implementatie informed consent, zaaknr 637377, 20210722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211,19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61-Implementatie-informed-consent-zaaknr-637377-202107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