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05:23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39" text:style-name="Internet_20_link" text:visited-style-name="Visited_20_Internet_20_Link">
              <text:span text:style-name="ListLabel_20_28">
                <text:span text:style-name="T8">1 Lbr VNG 21-007, Omnichannelstrategie en wetsvoorstel Wet modernisering elektronisch bestuurlijk verkeer, zaaknr 629616, 20210202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39"/>
        Lbr VNG 21-007, Omnichannelstrategie en wetsvoorstel Wet modernisering elektronisch bestuurlijk verkeer, zaaknr 629616, 20210202
        <text:bookmark-end text:name="423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21-007, Omnichannelstrategie en wetsvoorstel Wet modernisering elektronisch bestuurlijk verkeer, zaaknr 629616, 20210202 -
              <text:span text:style-name="T3"/>
            </text:p>
            <text:p text:style-name="P7"/>
          </table:table-cell>
          <table:table-cell table:style-name="Table4.A2" office:value-type="string">
            <text:p text:style-name="P8">02-02-2021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186,45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07-Omnichannelstrategie-en-wetsvoorstel-Wet-modernisering-elektronisch-bestuurlijk-verkeer-zaaknr-629616-20210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72" meta:non-whitespace-character-count="6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426568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426568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