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9" w:history="1">
        <w:r>
          <w:rPr>
            <w:rFonts w:ascii="Arial" w:hAnsi="Arial" w:eastAsia="Arial" w:cs="Arial"/>
            <w:color w:val="155CAA"/>
            <w:u w:val="single"/>
          </w:rPr>
          <w:t xml:space="preserve">1 Lbr VNG 20-090, Ambtshalve verlengen van beschermd wonen en aanleveren kostengegevens beschermd wonen, zaaknr 627842, 20201217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9"/>
      <w:r w:rsidRPr="00A448AC">
        <w:rPr>
          <w:rFonts w:ascii="Arial" w:hAnsi="Arial" w:cs="Arial"/>
          <w:b/>
          <w:bCs/>
          <w:color w:val="303F4C"/>
          <w:lang w:val="en-US"/>
        </w:rPr>
        <w:t>Lbr VNG 20-090, Ambtshalve verlengen van beschermd wonen en aanleveren kostengegevens beschermd wonen, zaaknr 627842,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20-090, Ambtshalve verlengen van beschermd wonen en aanleveren kostengegevens beschermd wonen, zaaknr 627842,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90-Ambtshalve-verlengen-van-beschermd-wonen-en-aanleveren-kostengegevens-beschermd-wonen-zaaknr-627842-2020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