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22:15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65" w:history="1">
        <w:r>
          <w:rPr>
            <w:rFonts w:ascii="Arial" w:hAnsi="Arial" w:eastAsia="Arial" w:cs="Arial"/>
            <w:color w:val="155CAA"/>
            <w:u w:val="single"/>
          </w:rPr>
          <w:t xml:space="preserve">1 Lbr VNG 20-083, Maatregelen beheersing kosten abonnementstarief, zaaknr 626835, 20201126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65"/>
      <w:r w:rsidRPr="00A448AC">
        <w:rPr>
          <w:rFonts w:ascii="Arial" w:hAnsi="Arial" w:cs="Arial"/>
          <w:b/>
          <w:bCs/>
          <w:color w:val="303F4C"/>
          <w:lang w:val="en-US"/>
        </w:rPr>
        <w:t>Lbr VNG 20-083, Maatregelen beheersing kosten abonnementstarief, zaaknr 626835, 20201126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26-11-2020 12:24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20-083, Maatregelen beheersing kosten abonnementstarief, zaaknr 626835, 20201126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126,22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0-083-Maatregelen-beheersing-kosten-abonnementstarief-zaaknr-626835-2020112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