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27" w:history="1">
        <w:r>
          <w:rPr>
            <w:rFonts w:ascii="Arial" w:hAnsi="Arial" w:eastAsia="Arial" w:cs="Arial"/>
            <w:color w:val="155CAA"/>
            <w:u w:val="single"/>
          </w:rPr>
          <w:t xml:space="preserve">1 Lbr VNG 20-050, Wet vroegtijdige aanmelddatum en toelatingsrecht MBO, zaaknr 621170, 20200721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27"/>
      <w:r w:rsidRPr="00A448AC">
        <w:rPr>
          <w:rFonts w:ascii="Arial" w:hAnsi="Arial" w:cs="Arial"/>
          <w:b/>
          <w:bCs/>
          <w:color w:val="303F4C"/>
          <w:lang w:val="en-US"/>
        </w:rPr>
        <w:t>Lbr VNG 20-050, Wet vroegtijdige aanmelddatum en toelatingsrecht MBO, zaaknr 621170,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20-050, Wet vroegtijdige aanmelddatum en toelatingsrecht MBO, zaaknr 621170,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Lbr-VNG-20-050-Wet-vroegtijdige-aanmelddatum-en-toelatingsrecht-MBO-zaaknr-621170-202007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