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20:49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3" w:history="1">
        <w:r>
          <w:rPr>
            <w:rFonts w:ascii="Arial" w:hAnsi="Arial" w:eastAsia="Arial" w:cs="Arial"/>
            <w:color w:val="155CAA"/>
            <w:u w:val="single"/>
          </w:rPr>
          <w:t xml:space="preserve">1 Lbr VNG 20-028, Rechtzetten scheefheid Waarborgfonds Sociale Woningbouw, zaaknr 619680, 20200608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3"/>
      <w:r w:rsidRPr="00A448AC">
        <w:rPr>
          <w:rFonts w:ascii="Arial" w:hAnsi="Arial" w:cs="Arial"/>
          <w:b/>
          <w:bCs/>
          <w:color w:val="303F4C"/>
          <w:lang w:val="en-US"/>
        </w:rPr>
        <w:t>Lbr VNG 20-028, Rechtzetten scheefheid Waarborgfonds Sociale Woningbouw, zaaknr 619680, 20200608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20-028, Rechtzetten scheefheid Waarborgfonds Sociale Woningbouw, zaaknr 619680, 20200608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226,45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28-Rechtzetten-scheefheid-Waarborgfonds-Sociale-Woningbouw-zaaknr-619680-202006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