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78" w:history="1">
        <w:r>
          <w:rPr>
            <w:rFonts w:ascii="Arial" w:hAnsi="Arial" w:eastAsia="Arial" w:cs="Arial"/>
            <w:color w:val="155CAA"/>
            <w:u w:val="single"/>
          </w:rPr>
          <w:t xml:space="preserve">1 Lbr VNG 20-024, Handvatten voor de uitvoering van de archiefwet, zaaknr 619276, 20200602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78"/>
      <w:r w:rsidRPr="00A448AC">
        <w:rPr>
          <w:rFonts w:ascii="Arial" w:hAnsi="Arial" w:cs="Arial"/>
          <w:b/>
          <w:bCs/>
          <w:color w:val="303F4C"/>
          <w:lang w:val="en-US"/>
        </w:rPr>
        <w:t>Lbr VNG 20-024, Handvatten voor de uitvoering van de archiefwet, zaaknr 619276, 20200602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20-024, Handvatten voor de uitvoering van de archiefwet, zaaknr 619276, 20200602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209,62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Lbr-VNG-20-024-Handvatten-voor-de-uitvoering-van-de-archiefwet-zaaknr-619276-202006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