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7" w:history="1">
        <w:r>
          <w:rPr>
            <w:rFonts w:ascii="Arial" w:hAnsi="Arial" w:eastAsia="Arial" w:cs="Arial"/>
            <w:color w:val="155CAA"/>
            <w:u w:val="single"/>
          </w:rPr>
          <w:t xml:space="preserve">1 Lbr VNG 20-001, Gevolgen sluiting rookruimten in de horeca, zaaknr 613361, 20200120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7"/>
      <w:r w:rsidRPr="00A448AC">
        <w:rPr>
          <w:rFonts w:ascii="Arial" w:hAnsi="Arial" w:cs="Arial"/>
          <w:b/>
          <w:bCs/>
          <w:color w:val="303F4C"/>
          <w:lang w:val="en-US"/>
        </w:rPr>
        <w:t>Lbr VNG 20-001, Gevolgen sluiting rookruimten in de horeca, zaaknr 613361, 20200120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20-001, Gevolgen sluiting rookruimten in de horeca, zaaknr 613361,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01-Gevolgen-sluiting-rookruimten-in-de-horeca-zaaknr-613361-2020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