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9" w:history="1">
        <w:r>
          <w:rPr>
            <w:rFonts w:ascii="Arial" w:hAnsi="Arial" w:eastAsia="Arial" w:cs="Arial"/>
            <w:color w:val="155CAA"/>
            <w:u w:val="single"/>
          </w:rPr>
          <w:t xml:space="preserve">1 Lbr VNG 19-106, Onafhankelijke cliëntonderst, Hulpmiddelencentr en stvzkn diverse onderwerpen SD, zaaknr 612015, 20200107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9"/>
      <w:r w:rsidRPr="00A448AC">
        <w:rPr>
          <w:rFonts w:ascii="Arial" w:hAnsi="Arial" w:cs="Arial"/>
          <w:b/>
          <w:bCs/>
          <w:color w:val="303F4C"/>
          <w:lang w:val="en-US"/>
        </w:rPr>
        <w:t>Lbr VNG 19-106, Onafhankelijke cliëntonderst, Hulpmiddelencentr en stvzkn diverse onderwerpen SD, zaaknr 612015,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19-106, Onafhankelijke cliëntonderst, Hulpmiddelencentr en stvzkn diverse onderwerpen SD, zaaknr 612015,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19-106-Onafhankelijke-clientonderst-Hulpmiddelencentr-en-stvzkn-diverse-onderwerpen-SD-zaaknr-612015-2020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