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6" w:history="1">
        <w:r>
          <w:rPr>
            <w:rFonts w:ascii="Arial" w:hAnsi="Arial" w:eastAsia="Arial" w:cs="Arial"/>
            <w:color w:val="155CAA"/>
            <w:u w:val="single"/>
          </w:rPr>
          <w:t xml:space="preserve">1 Brf Zonnepark Dalfsen B.V., Bezwaar besluit zonnepark Hoevenweg, zaaknr 621763, 20200806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6"/>
      <w:r w:rsidRPr="00A448AC">
        <w:rPr>
          <w:rFonts w:ascii="Arial" w:hAnsi="Arial" w:cs="Arial"/>
          <w:b/>
          <w:bCs/>
          <w:color w:val="303F4C"/>
          <w:lang w:val="en-US"/>
        </w:rPr>
        <w:t>Brf Zonnepark Dalfsen B.V., Bezwaar besluit zonnepark Hoevenweg, zaaknr 621763, 20200806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Zonnepark Dalfsen B.V., Bezwaar besluit zonnepark Hoevenweg, zaaknr 621763, 20200806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Zonnepark-Dalfsen-B-V-Bezwaar-besluit-zonnepark-Hoevenweg-zaaknr-621763-202008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