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28" text:style-name="Internet_20_link" text:visited-style-name="Visited_20_Internet_20_Link">
              <text:span text:style-name="ListLabel_20_28">
                <text:span text:style-name="T8">1 Brf Werkgroep Hondenspeelveld Dalfsen, Burgerinitiatief Hondenspeelveld Dalfsen, zaaknr 653789, 20220224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28"/>
        Brf Werkgroep Hondenspeelveld Dalfsen, Burgerinitiatief Hondenspeelveld Dalfsen, zaaknr 653789, 20220224
        <text:bookmark-end text:name="427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Werkgroep Hondenspeelveld Dalfsen, Burgerinitiatief Hondenspeelveld Dalfsen, zaaknr 653789, 20220224
              <text:span text:style-name="T3"/>
            </text:p>
            <text:p text:style-name="P7"/>
          </table:table-cell>
          <table:table-cell table:style-name="Table4.A2" office:value-type="string">
            <text:p text:style-name="P8">24-02-2022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1,45 MB</text:p>
          </table:table-cell>
          <table:table-cell table:style-name="Table4.A2" office:value-type="string">
            <text:p text:style-name="P33">
              <text:a xlink:type="simple" xlink:href="https://ris.dalfsen.nl//Raadsinformatie/Bijlage/Brf-Werkgroep-Hondenspeelveld-Dalfsen-Burgerinitiatief-Hondenspeelveld-Dalfsen-zaaknr-653789-202202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96" meta:non-whitespace-character-count="5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911625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911625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