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19" w:history="1">
        <w:r>
          <w:rPr>
            <w:rFonts w:ascii="Arial" w:hAnsi="Arial" w:eastAsia="Arial" w:cs="Arial"/>
            <w:color w:val="155CAA"/>
            <w:u w:val="single"/>
          </w:rPr>
          <w:t xml:space="preserve">1 Brf VvE Waterfront Dalfsen, Bezwaar en afwijzing plannen Hiawatha, zaaknr 628726, 20210114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19"/>
      <w:r w:rsidRPr="00A448AC">
        <w:rPr>
          <w:rFonts w:ascii="Arial" w:hAnsi="Arial" w:cs="Arial"/>
          <w:b/>
          <w:bCs/>
          <w:color w:val="303F4C"/>
          <w:lang w:val="en-US"/>
        </w:rPr>
        <w:t>Brf VvE Waterfront Dalfsen, Bezwaar en afwijzing plannen Hiawatha, zaaknr 628726, 20210114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28-01-2021 10:14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VvE Waterfront Dalfsen, Bezwaar en afwijzing plannen Hiawatha, zaaknr 628726, 20210114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VvE-Waterfront-Dalfsen-Bezwaar-en-afwijzing-plannen-Hiawatha-zaaknr-628726-202101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