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7" w:history="1">
        <w:r>
          <w:rPr>
            <w:rFonts w:ascii="Arial" w:hAnsi="Arial" w:eastAsia="Arial" w:cs="Arial"/>
            <w:color w:val="155CAA"/>
            <w:u w:val="single"/>
          </w:rPr>
          <w:t xml:space="preserve">1 Brf Van Zuthphen Kant Hollema advocaten, Centrumplan Dalfsen - bezwaar mevr Frijling, zaaknr 615902, 20200514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7"/>
      <w:r w:rsidRPr="00A448AC">
        <w:rPr>
          <w:rFonts w:ascii="Arial" w:hAnsi="Arial" w:cs="Arial"/>
          <w:b/>
          <w:bCs/>
          <w:color w:val="303F4C"/>
          <w:lang w:val="en-US"/>
        </w:rPr>
        <w:t>Brf Van Zuthphen Kant Hollema advocaten, Centrumplan Dalfsen - bezwaar mevr Frijling, zaaknr 615902, 20200514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Zuthphen Kant Hollema advocaten, Centrumplan Dalfsen - bezwaar mevr Frijling, zaaknr 615902,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Van-Zuthphen-Kant-Hollema-advocaten-Centrumplan-Dalfsen-bezwaar-mevr-Frijling-zaaknr-615902-202005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