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4" w:history="1">
        <w:r>
          <w:rPr>
            <w:rFonts w:ascii="Arial" w:hAnsi="Arial" w:eastAsia="Arial" w:cs="Arial"/>
            <w:color w:val="155CAA"/>
            <w:u w:val="single"/>
          </w:rPr>
          <w:t xml:space="preserve">1 Brf Stuurgroep duurzame energie Dalfserveld-West, Haalbaarheid van duurzame energie-opties en samenwerking energietransitie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4"/>
      <w:r w:rsidRPr="00A448AC">
        <w:rPr>
          <w:rFonts w:ascii="Arial" w:hAnsi="Arial" w:cs="Arial"/>
          <w:b/>
          <w:bCs/>
          <w:color w:val="303F4C"/>
          <w:lang w:val="en-US"/>
        </w:rPr>
        <w:t>Brf Stuurgroep duurzame energie Dalfserveld-West, Haalbaarheid van duurzame energie-opties en samenwerking energietransitie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Stuurgroep duurzame energie Dalfserveld-West, Haalbaarheid van duurzame energie-opties en samenwerking energietransitie,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uurgroep-duurzame-energie-Dalfserveld-West-Haalbaarheid-van-duurzame-energie-opties-en-samenwerking-energietransitie-202501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