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10:56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34" text:style-name="Internet_20_link" text:visited-style-name="Visited_20_Internet_20_Link">
              <text:span text:style-name="ListLabel_20_28">
                <text:span text:style-name="T8">1 Brf, Sociaal Werk Nederland, Urgente oproep tot indexering tarieven sociaal werk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34"/>
        Brf, Sociaal Werk Nederland, Urgente oproep tot indexering tarieven sociaal werk
        <text:bookmark-end text:name="432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21-09-2023 12:16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Sociaal Werk Nederland, Urgente oproep tot indexering tarieven sociaal werk, 20230831
              <text:span text:style-name="T3"/>
            </text:p>
            <text:p text:style-name="P7"/>
          </table:table-cell>
          <table:table-cell table:style-name="Table4.A2" office:value-type="string">
            <text:p text:style-name="P8">31-08-2023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150,45 KB</text:p>
          </table:table-cell>
          <table:table-cell table:style-name="Table4.A2" office:value-type="string">
            <text:p text:style-name="P33">
              <text:a xlink:type="simple" xlink:href="https://ris.dalfsen.nl//Raadsinformatie/Bijlage/Brf-Sociaal-Werk-Nederland-Urgente-oproep-tot-indexering-tarieven-sociaal-werk-202308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36" meta:non-whitespace-character-count="4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1832013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1832013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