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40" text:style-name="Internet_20_link" text:visited-style-name="Visited_20_Internet_20_Link">
              <text:span text:style-name="ListLabel_20_28">
                <text:span text:style-name="T8">1 Brf Provincie Overijssel, Informatie voor uw begroting 2025 en meerjarenraming 2026-2028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40"/>
        Brf Provincie Overijssel, Informatie voor uw begroting 2025 en meerjarenraming 2026-2028
        <text:bookmark-end text:name="434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09-04-2024 11:07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Informatie voor uw begroting 2025 en meerjarenraming 2026-2028, 20240409
              <text:span text:style-name="T3"/>
            </text:p>
            <text:p text:style-name="P7"/>
          </table:table-cell>
          <table:table-cell table:style-name="Table4.A2" office:value-type="string">
            <text:p text:style-name="P8">09-04-2024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584,05 KB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Informatie-voor-uw-begroting-2025-en-meerjarenraming-2026-2028-202404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60" meta:non-whitespace-character-count="5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302483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302483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