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3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Informatie voor uw begroting 2022 en meerjarenraming 2023-2025, zaaknr 633055, 20210506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3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2022 en meerjarenraming 2023-2025, zaaknr 633055, 20210506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2022 en meerjarenraming 2023-2025, zaaknr 633055, 20210506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Informatie-voor-uw-begroting-2022-en-meerjarenraming-2023-2025-zaaknr-633055-2021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