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2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Aanvulling op de begrotingscirculaire 2026 voor gemeenten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2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Aanvulling op de begrotingscirculaire 2026 voor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16-06-2025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Aanvulling op de begrotingscirculaire 2026 voor gemeenten, 20250616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Provincie-Overijssel-Aanvulling-op-de-begrotingscirculaire-2026-voor-gemeenten-202506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