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06" w:history="1">
        <w:r>
          <w:rPr>
            <w:rFonts w:ascii="Arial" w:hAnsi="Arial" w:eastAsia="Arial" w:cs="Arial"/>
            <w:color w:val="155CAA"/>
            <w:u w:val="single"/>
          </w:rPr>
          <w:t xml:space="preserve">1 Brf Min BZK, Wijziging-1-juli-2020-bezoldiging-gemeenten-per-1-januari-2021-onkostenvergoeding, zaaknr 632047, 20210401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06"/>
      <w:r w:rsidRPr="00A448AC">
        <w:rPr>
          <w:rFonts w:ascii="Arial" w:hAnsi="Arial" w:cs="Arial"/>
          <w:b/>
          <w:bCs/>
          <w:color w:val="303F4C"/>
          <w:lang w:val="en-US"/>
        </w:rPr>
        <w:t>Brf Min BZK, Wijziging-1-juli-2020-bezoldiging-gemeenten-per-1-januari-2021-onkostenvergoeding, zaaknr 632047, 20210401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Min BZK, Wijziging-1-juli-2020-bezoldiging-gemeenten-per-1-januari-2021-onkostenvergoeding, zaaknr 632047, 20210401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120,78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Min-BZK-Wijziging-1-juli-2020-bezoldiging-gemeenten-per-1-januari-2021-onkostenvergoeding-zaaknr-632047-202104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