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6" w:history="1">
        <w:r>
          <w:rPr>
            <w:rFonts w:ascii="Arial" w:hAnsi="Arial" w:eastAsia="Arial" w:cs="Arial"/>
            <w:color w:val="155CAA"/>
            <w:u w:val="single"/>
          </w:rPr>
          <w:t xml:space="preserve">1 Brf Milieudefensie, Biomassa-installaties en de Warmtetransitievisie, zaaknr 616005, 20200319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6"/>
      <w:r w:rsidRPr="00A448AC">
        <w:rPr>
          <w:rFonts w:ascii="Arial" w:hAnsi="Arial" w:cs="Arial"/>
          <w:b/>
          <w:bCs/>
          <w:color w:val="303F4C"/>
          <w:lang w:val="en-US"/>
        </w:rPr>
        <w:t>Brf Milieudefensie, Biomassa-installaties en de Warmtetransitievisie, zaaknr 616005, 20200319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Milieudefensie, Biomassa-installaties en de Warmtetransitievisie, zaaknr 616005, 20200319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Milieudefensie-Biomassa-installaties-en-de-Warmtetransitievisie-zaaknr-616005-202003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