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4" w:history="1">
        <w:r>
          <w:rPr>
            <w:rFonts w:ascii="Arial" w:hAnsi="Arial" w:eastAsia="Arial" w:cs="Arial"/>
            <w:color w:val="155CAA"/>
            <w:u w:val="single"/>
          </w:rPr>
          <w:t xml:space="preserve">1 Brf J. Nijhuis, Analyse Gemeentefonds, zaaknr 615322, 20200625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4"/>
      <w:r w:rsidRPr="00A448AC">
        <w:rPr>
          <w:rFonts w:ascii="Arial" w:hAnsi="Arial" w:cs="Arial"/>
          <w:b/>
          <w:bCs/>
          <w:color w:val="303F4C"/>
          <w:lang w:val="en-US"/>
        </w:rPr>
        <w:t>Brf J. Nijhuis, Analyse Gemeentefonds, zaaknr 615322,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 Nijhuis, Analyse Gemeentefonds, zaaknr 615322,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752,46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J-Nijhuis-Analyse-Gemeentefonds-zaaknr-615322-2020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